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B16" w:rsidRPr="007D2B16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Mangal"/>
          <w:kern w:val="3"/>
          <w:sz w:val="24"/>
          <w:szCs w:val="24"/>
          <w:lang w:eastAsia="zh-CN" w:bidi="hi-IN"/>
        </w:rPr>
      </w:pP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Nadle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>ž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an trgova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>č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ki</w:t>
      </w:r>
      <w:r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 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sud</w:t>
      </w:r>
      <w:r w:rsidRPr="007D2B16"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  <w:t>:</w:t>
      </w:r>
      <w:r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  <w:t xml:space="preserve"> </w:t>
      </w:r>
      <w:r w:rsidRPr="007D2B16">
        <w:rPr>
          <w:rFonts w:ascii="Century Gothic" w:eastAsia="SimSun" w:hAnsi="Century Gothic" w:cs="Tahoma"/>
          <w:kern w:val="3"/>
          <w:sz w:val="24"/>
          <w:szCs w:val="24"/>
          <w:lang w:eastAsia="zh-CN" w:bidi="hi-IN"/>
        </w:rPr>
        <w:tab/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>Trgovački sud u Varaždinu</w:t>
      </w:r>
    </w:p>
    <w:p w:rsidR="007D2B16" w:rsidRPr="007D2B16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Mangal"/>
          <w:kern w:val="3"/>
          <w:sz w:val="24"/>
          <w:szCs w:val="24"/>
          <w:lang w:eastAsia="zh-CN" w:bidi="hi-IN"/>
        </w:rPr>
      </w:pP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Poslovni broj spisa</w:t>
      </w:r>
      <w:r w:rsidRPr="007D2B16"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  <w:t>:</w:t>
      </w:r>
      <w:r w:rsidRPr="007D2B16"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  <w:tab/>
      </w:r>
      <w:r w:rsidRPr="007D2B16"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  <w:tab/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St-</w:t>
      </w:r>
      <w:r w:rsidR="00695BBD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452/16</w:t>
      </w:r>
    </w:p>
    <w:p w:rsidR="00695BBD" w:rsidRPr="00695BBD" w:rsidRDefault="007D2B16" w:rsidP="00695BB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Dužnik: 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          </w:t>
      </w:r>
      <w:r w:rsidR="00695BBD" w:rsidRPr="00695BBD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KLM HORVAT d.o.o. u stečaju</w:t>
      </w:r>
      <w:r w:rsidR="00695BBD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, </w:t>
      </w:r>
      <w:r w:rsidR="00695BBD" w:rsidRPr="00695BBD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Školska 102, Goričan, OIB: 12796096560</w:t>
      </w:r>
    </w:p>
    <w:p w:rsidR="007D2B16" w:rsidRPr="007D2B16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</w:p>
    <w:p w:rsidR="007D2B16" w:rsidRPr="007D2B16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</w:pPr>
    </w:p>
    <w:p w:rsidR="007D2B16" w:rsidRDefault="007D2B16" w:rsidP="007D2B16">
      <w:pPr>
        <w:jc w:val="center"/>
        <w:rPr>
          <w:rFonts w:ascii="Century Gothic" w:hAnsi="Century Gothic"/>
          <w:b/>
          <w:sz w:val="24"/>
          <w:szCs w:val="24"/>
        </w:rPr>
      </w:pPr>
      <w:r w:rsidRPr="007D2B16">
        <w:rPr>
          <w:rFonts w:ascii="Century Gothic" w:hAnsi="Century Gothic"/>
          <w:b/>
          <w:sz w:val="24"/>
          <w:szCs w:val="24"/>
        </w:rPr>
        <w:t>TABLIC</w:t>
      </w:r>
      <w:r w:rsidR="00F66E7B">
        <w:rPr>
          <w:rFonts w:ascii="Century Gothic" w:hAnsi="Century Gothic"/>
          <w:b/>
          <w:sz w:val="24"/>
          <w:szCs w:val="24"/>
        </w:rPr>
        <w:t>A</w:t>
      </w:r>
      <w:r w:rsidRPr="007D2B16">
        <w:rPr>
          <w:rFonts w:ascii="Century Gothic" w:hAnsi="Century Gothic"/>
          <w:b/>
          <w:sz w:val="24"/>
          <w:szCs w:val="24"/>
        </w:rPr>
        <w:t xml:space="preserve"> PRIJAVL</w:t>
      </w:r>
      <w:r>
        <w:rPr>
          <w:rFonts w:ascii="Century Gothic" w:hAnsi="Century Gothic"/>
          <w:b/>
          <w:sz w:val="24"/>
          <w:szCs w:val="24"/>
        </w:rPr>
        <w:t>J</w:t>
      </w:r>
      <w:r w:rsidRPr="007D2B16">
        <w:rPr>
          <w:rFonts w:ascii="Century Gothic" w:hAnsi="Century Gothic"/>
          <w:b/>
          <w:sz w:val="24"/>
          <w:szCs w:val="24"/>
        </w:rPr>
        <w:t>ENIH TRAŽBINA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="001B3AA1">
        <w:rPr>
          <w:rFonts w:ascii="Century Gothic" w:hAnsi="Century Gothic"/>
          <w:b/>
          <w:sz w:val="24"/>
          <w:szCs w:val="24"/>
        </w:rPr>
        <w:t>I</w:t>
      </w:r>
      <w:r w:rsidRPr="007D2B16">
        <w:rPr>
          <w:rFonts w:ascii="Century Gothic" w:hAnsi="Century Gothic"/>
          <w:b/>
          <w:sz w:val="24"/>
          <w:szCs w:val="24"/>
        </w:rPr>
        <w:t>I VIŠI ISPLATNI RED</w:t>
      </w:r>
    </w:p>
    <w:tbl>
      <w:tblPr>
        <w:tblStyle w:val="Reetkatablice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693"/>
        <w:gridCol w:w="1701"/>
        <w:gridCol w:w="1560"/>
        <w:gridCol w:w="1559"/>
        <w:gridCol w:w="2693"/>
      </w:tblGrid>
      <w:tr w:rsidR="00AE40A1" w:rsidRPr="00B478A6" w:rsidTr="00695BBD">
        <w:trPr>
          <w:trHeight w:val="900"/>
        </w:trPr>
        <w:tc>
          <w:tcPr>
            <w:tcW w:w="993" w:type="dxa"/>
            <w:shd w:val="clear" w:color="auto" w:fill="BFBFBF" w:themeFill="background1" w:themeFillShade="BF"/>
            <w:hideMark/>
          </w:tcPr>
          <w:p w:rsidR="00AE40A1" w:rsidRPr="00B478A6" w:rsidRDefault="00AE40A1" w:rsidP="00AE40A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478A6">
              <w:rPr>
                <w:rFonts w:ascii="Century Gothic" w:hAns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w="3544" w:type="dxa"/>
            <w:shd w:val="clear" w:color="auto" w:fill="BFBFBF" w:themeFill="background1" w:themeFillShade="BF"/>
            <w:noWrap/>
            <w:hideMark/>
          </w:tcPr>
          <w:p w:rsidR="00AE40A1" w:rsidRPr="00B478A6" w:rsidRDefault="00AE40A1" w:rsidP="00AE40A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478A6">
              <w:rPr>
                <w:rFonts w:ascii="Century Gothic" w:hAns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2693" w:type="dxa"/>
            <w:shd w:val="clear" w:color="auto" w:fill="BFBFBF" w:themeFill="background1" w:themeFillShade="BF"/>
            <w:hideMark/>
          </w:tcPr>
          <w:p w:rsidR="00AE40A1" w:rsidRPr="00B478A6" w:rsidRDefault="00AE40A1" w:rsidP="00AE40A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478A6">
              <w:rPr>
                <w:rFonts w:ascii="Century Gothic" w:hAnsi="Century Gothic"/>
                <w:b/>
                <w:bCs/>
                <w:sz w:val="20"/>
                <w:szCs w:val="20"/>
              </w:rPr>
              <w:t>Osnova</w:t>
            </w:r>
            <w:r w:rsidRPr="00B478A6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w="1701" w:type="dxa"/>
            <w:shd w:val="clear" w:color="auto" w:fill="BFBFBF" w:themeFill="background1" w:themeFillShade="BF"/>
            <w:hideMark/>
          </w:tcPr>
          <w:p w:rsidR="00AE40A1" w:rsidRPr="00B478A6" w:rsidRDefault="007D2B16" w:rsidP="00AE40A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478A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Iznos </w:t>
            </w:r>
            <w:r w:rsidRPr="00B478A6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  <w:r w:rsidR="00AE40A1" w:rsidRPr="00B478A6">
              <w:rPr>
                <w:rFonts w:ascii="Century Gothic" w:hAnsi="Century Gothic"/>
                <w:b/>
                <w:bCs/>
                <w:sz w:val="20"/>
                <w:szCs w:val="20"/>
              </w:rPr>
              <w:t>/KN</w:t>
            </w:r>
          </w:p>
        </w:tc>
        <w:tc>
          <w:tcPr>
            <w:tcW w:w="1560" w:type="dxa"/>
            <w:shd w:val="clear" w:color="auto" w:fill="BFBFBF" w:themeFill="background1" w:themeFillShade="BF"/>
            <w:hideMark/>
          </w:tcPr>
          <w:p w:rsidR="00AE40A1" w:rsidRPr="00B478A6" w:rsidRDefault="007D2B16" w:rsidP="00AE40A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478A6">
              <w:rPr>
                <w:rFonts w:ascii="Century Gothic" w:hAnsi="Century Gothic"/>
                <w:b/>
                <w:bCs/>
                <w:sz w:val="20"/>
                <w:szCs w:val="20"/>
              </w:rPr>
              <w:t>Iznos priznate tražbine</w:t>
            </w:r>
            <w:r w:rsidR="00AE40A1" w:rsidRPr="00B478A6">
              <w:rPr>
                <w:rFonts w:ascii="Century Gothic" w:hAnsi="Century Gothic"/>
                <w:b/>
                <w:bCs/>
                <w:sz w:val="20"/>
                <w:szCs w:val="20"/>
              </w:rPr>
              <w:t>/KN</w:t>
            </w:r>
          </w:p>
        </w:tc>
        <w:tc>
          <w:tcPr>
            <w:tcW w:w="1559" w:type="dxa"/>
            <w:shd w:val="clear" w:color="auto" w:fill="BFBFBF" w:themeFill="background1" w:themeFillShade="BF"/>
            <w:hideMark/>
          </w:tcPr>
          <w:p w:rsidR="00AE40A1" w:rsidRPr="00B478A6" w:rsidRDefault="007D2B16" w:rsidP="00AE40A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478A6">
              <w:rPr>
                <w:rFonts w:ascii="Century Gothic" w:hAnsi="Century Gothic"/>
                <w:b/>
                <w:bCs/>
                <w:sz w:val="20"/>
                <w:szCs w:val="20"/>
              </w:rPr>
              <w:t>Iznos osporene tražbine</w:t>
            </w:r>
            <w:r w:rsidR="00AE40A1" w:rsidRPr="00B478A6">
              <w:rPr>
                <w:rFonts w:ascii="Century Gothic" w:hAnsi="Century Gothic"/>
                <w:b/>
                <w:bCs/>
                <w:sz w:val="20"/>
                <w:szCs w:val="20"/>
              </w:rPr>
              <w:t>/KN</w:t>
            </w:r>
          </w:p>
        </w:tc>
        <w:tc>
          <w:tcPr>
            <w:tcW w:w="2693" w:type="dxa"/>
            <w:shd w:val="clear" w:color="auto" w:fill="BFBFBF" w:themeFill="background1" w:themeFillShade="BF"/>
            <w:noWrap/>
            <w:hideMark/>
          </w:tcPr>
          <w:p w:rsidR="00AE40A1" w:rsidRPr="00B478A6" w:rsidRDefault="007D2B16" w:rsidP="00AE40A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478A6">
              <w:rPr>
                <w:rFonts w:ascii="Century Gothic" w:hAns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R="00695BBD" w:rsidRPr="00B478A6" w:rsidTr="00B478A6">
        <w:trPr>
          <w:trHeight w:val="567"/>
        </w:trPr>
        <w:tc>
          <w:tcPr>
            <w:tcW w:w="993" w:type="dxa"/>
            <w:noWrap/>
            <w:vAlign w:val="center"/>
            <w:hideMark/>
          </w:tcPr>
          <w:p w:rsidR="00695BBD" w:rsidRPr="00B478A6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1.</w:t>
            </w:r>
          </w:p>
        </w:tc>
        <w:tc>
          <w:tcPr>
            <w:tcW w:w="3544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TRIGLAV  OSIGURANJE d.d., Antuna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Heinza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 4, 10000 Zagreb, OIB: 29743547503</w:t>
            </w:r>
          </w:p>
        </w:tc>
        <w:tc>
          <w:tcPr>
            <w:tcW w:w="2693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Izvod iz poslovnih knjiga, račun, kamata</w:t>
            </w:r>
          </w:p>
        </w:tc>
        <w:tc>
          <w:tcPr>
            <w:tcW w:w="1701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1.022,60</w:t>
            </w:r>
          </w:p>
        </w:tc>
        <w:tc>
          <w:tcPr>
            <w:tcW w:w="1560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1.022,60</w:t>
            </w:r>
          </w:p>
        </w:tc>
        <w:tc>
          <w:tcPr>
            <w:tcW w:w="1559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695BBD" w:rsidRPr="00B478A6" w:rsidTr="00695BBD">
        <w:trPr>
          <w:trHeight w:val="461"/>
        </w:trPr>
        <w:tc>
          <w:tcPr>
            <w:tcW w:w="993" w:type="dxa"/>
            <w:noWrap/>
            <w:vAlign w:val="center"/>
            <w:hideMark/>
          </w:tcPr>
          <w:p w:rsidR="00695BBD" w:rsidRPr="00B478A6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2.</w:t>
            </w:r>
          </w:p>
        </w:tc>
        <w:tc>
          <w:tcPr>
            <w:tcW w:w="3544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HRVATSKE VODE,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Vodnogospodarski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 odjel za Muru i gornju Dravu, Međimurska 26b, 42000 Varaždin, OIB:28921383001</w:t>
            </w:r>
          </w:p>
        </w:tc>
        <w:tc>
          <w:tcPr>
            <w:tcW w:w="2693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Rješenje o ovrsi vodnog doprinosa Klasa: UP/I-325-08/10-01/02219, financijske kartice, kamata, trošak</w:t>
            </w:r>
          </w:p>
        </w:tc>
        <w:tc>
          <w:tcPr>
            <w:tcW w:w="1701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79.054,24</w:t>
            </w:r>
          </w:p>
        </w:tc>
        <w:tc>
          <w:tcPr>
            <w:tcW w:w="1560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79.054,24</w:t>
            </w:r>
          </w:p>
        </w:tc>
        <w:tc>
          <w:tcPr>
            <w:tcW w:w="1559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695BBD" w:rsidRPr="00B478A6" w:rsidTr="00B478A6">
        <w:trPr>
          <w:trHeight w:val="454"/>
        </w:trPr>
        <w:tc>
          <w:tcPr>
            <w:tcW w:w="993" w:type="dxa"/>
            <w:noWrap/>
            <w:vAlign w:val="center"/>
            <w:hideMark/>
          </w:tcPr>
          <w:p w:rsidR="00695BBD" w:rsidRPr="00B478A6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3.</w:t>
            </w:r>
          </w:p>
        </w:tc>
        <w:tc>
          <w:tcPr>
            <w:tcW w:w="3544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LINDE PLIN d.o.o.,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Kalinovac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 2/a, 47000 Karlovca, OIB: 64936811186</w:t>
            </w:r>
          </w:p>
        </w:tc>
        <w:tc>
          <w:tcPr>
            <w:tcW w:w="2693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Pravomoćna Presuda Trgovačkog suda u Varaždinu, broj: 1 P-89/13 od 05.07.2013.godine, trošak ovršnog postupka, trošak parničnog postupka, kamata</w:t>
            </w:r>
          </w:p>
        </w:tc>
        <w:tc>
          <w:tcPr>
            <w:tcW w:w="1701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144.099,73</w:t>
            </w:r>
          </w:p>
        </w:tc>
        <w:tc>
          <w:tcPr>
            <w:tcW w:w="1560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144.099,73</w:t>
            </w:r>
          </w:p>
        </w:tc>
        <w:tc>
          <w:tcPr>
            <w:tcW w:w="1559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695BBD" w:rsidRPr="00B478A6" w:rsidTr="00B478A6">
        <w:trPr>
          <w:trHeight w:val="454"/>
        </w:trPr>
        <w:tc>
          <w:tcPr>
            <w:tcW w:w="993" w:type="dxa"/>
            <w:noWrap/>
            <w:vAlign w:val="center"/>
            <w:hideMark/>
          </w:tcPr>
          <w:p w:rsidR="00695BBD" w:rsidRPr="00B478A6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bookmarkStart w:id="0" w:name="_GoBack" w:colFirst="0" w:colLast="4"/>
            <w:r w:rsidRPr="00B478A6">
              <w:rPr>
                <w:rFonts w:ascii="Century Gothic" w:hAnsi="Century Gothic" w:cs="Arial"/>
                <w:sz w:val="20"/>
                <w:szCs w:val="20"/>
              </w:rPr>
              <w:lastRenderedPageBreak/>
              <w:t>4.</w:t>
            </w:r>
          </w:p>
        </w:tc>
        <w:tc>
          <w:tcPr>
            <w:tcW w:w="3544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FINANCIJSKA AGENCIJA, Ulica grada Vukovara 70, 10000 Zagreb, OIB:85821130368</w:t>
            </w:r>
          </w:p>
        </w:tc>
        <w:tc>
          <w:tcPr>
            <w:tcW w:w="2693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Izvadak iz poslovnih knjiga, Rješenje nagodbenog vijeća, kamata</w:t>
            </w:r>
          </w:p>
        </w:tc>
        <w:tc>
          <w:tcPr>
            <w:tcW w:w="1701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3.612,53</w:t>
            </w:r>
          </w:p>
        </w:tc>
        <w:tc>
          <w:tcPr>
            <w:tcW w:w="1560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3.612,53</w:t>
            </w:r>
          </w:p>
        </w:tc>
        <w:tc>
          <w:tcPr>
            <w:tcW w:w="1559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695BBD" w:rsidRPr="00B478A6" w:rsidTr="00B478A6">
        <w:trPr>
          <w:trHeight w:val="454"/>
        </w:trPr>
        <w:tc>
          <w:tcPr>
            <w:tcW w:w="993" w:type="dxa"/>
            <w:noWrap/>
            <w:vAlign w:val="center"/>
            <w:hideMark/>
          </w:tcPr>
          <w:p w:rsidR="00695BBD" w:rsidRPr="00B478A6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5.</w:t>
            </w:r>
          </w:p>
        </w:tc>
        <w:tc>
          <w:tcPr>
            <w:tcW w:w="3544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HOREX TRADE d.o.o., Josipa Lončara 6, 10000 Zagreb, OIB: 54680477838</w:t>
            </w:r>
          </w:p>
        </w:tc>
        <w:tc>
          <w:tcPr>
            <w:tcW w:w="2693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Pravomoćno i ovršno Rješenje br.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>-679/12 od 22.09.2012. godine, Izvod otvorenih stavaka, računi, kamata</w:t>
            </w:r>
          </w:p>
        </w:tc>
        <w:tc>
          <w:tcPr>
            <w:tcW w:w="1701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402.384,67</w:t>
            </w:r>
          </w:p>
        </w:tc>
        <w:tc>
          <w:tcPr>
            <w:tcW w:w="1560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402.384,67</w:t>
            </w:r>
          </w:p>
        </w:tc>
        <w:tc>
          <w:tcPr>
            <w:tcW w:w="1559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bookmarkEnd w:id="0"/>
      <w:tr w:rsidR="00695BBD" w:rsidRPr="00B478A6" w:rsidTr="00695BBD">
        <w:trPr>
          <w:trHeight w:val="555"/>
        </w:trPr>
        <w:tc>
          <w:tcPr>
            <w:tcW w:w="993" w:type="dxa"/>
            <w:noWrap/>
            <w:vAlign w:val="center"/>
            <w:hideMark/>
          </w:tcPr>
          <w:p w:rsidR="00695BBD" w:rsidRPr="00B478A6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6.</w:t>
            </w:r>
          </w:p>
        </w:tc>
        <w:tc>
          <w:tcPr>
            <w:tcW w:w="3544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MEĐIMURSKE VODE d.o.o., Matice hrvatske 10, 40000 Čakovec, OIB:81394716246</w:t>
            </w:r>
          </w:p>
        </w:tc>
        <w:tc>
          <w:tcPr>
            <w:tcW w:w="2693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Otvorene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stavje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>, računi za uslugu, kamata</w:t>
            </w:r>
          </w:p>
        </w:tc>
        <w:tc>
          <w:tcPr>
            <w:tcW w:w="1701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1.707,34</w:t>
            </w:r>
          </w:p>
        </w:tc>
        <w:tc>
          <w:tcPr>
            <w:tcW w:w="1560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1.707,34</w:t>
            </w:r>
          </w:p>
        </w:tc>
        <w:tc>
          <w:tcPr>
            <w:tcW w:w="1559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695BBD" w:rsidRPr="00B478A6" w:rsidTr="00695BBD">
        <w:trPr>
          <w:trHeight w:val="690"/>
        </w:trPr>
        <w:tc>
          <w:tcPr>
            <w:tcW w:w="993" w:type="dxa"/>
            <w:noWrap/>
            <w:vAlign w:val="center"/>
            <w:hideMark/>
          </w:tcPr>
          <w:p w:rsidR="00695BBD" w:rsidRPr="00B478A6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7.</w:t>
            </w:r>
          </w:p>
        </w:tc>
        <w:tc>
          <w:tcPr>
            <w:tcW w:w="3544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BERNER d.o.o., Majstorska 9, 10000 Zagreb, OIB: 66471923099</w:t>
            </w:r>
          </w:p>
        </w:tc>
        <w:tc>
          <w:tcPr>
            <w:tcW w:w="2693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Rješenje o ovrsi br.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Ovr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>-880/12 od 28.12.2012. godine, trošak ovršnog postupka, kamate, trošak zastupanja</w:t>
            </w:r>
          </w:p>
        </w:tc>
        <w:tc>
          <w:tcPr>
            <w:tcW w:w="1701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10.640,60</w:t>
            </w:r>
          </w:p>
        </w:tc>
        <w:tc>
          <w:tcPr>
            <w:tcW w:w="1560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10.640,60</w:t>
            </w:r>
          </w:p>
        </w:tc>
        <w:tc>
          <w:tcPr>
            <w:tcW w:w="1559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695BBD" w:rsidRPr="00B478A6" w:rsidTr="00695BBD">
        <w:trPr>
          <w:trHeight w:val="690"/>
        </w:trPr>
        <w:tc>
          <w:tcPr>
            <w:tcW w:w="993" w:type="dxa"/>
            <w:noWrap/>
            <w:vAlign w:val="center"/>
            <w:hideMark/>
          </w:tcPr>
          <w:p w:rsidR="00695BBD" w:rsidRPr="00B478A6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8.</w:t>
            </w:r>
          </w:p>
        </w:tc>
        <w:tc>
          <w:tcPr>
            <w:tcW w:w="3544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ALLIANZ ZAGREB d.d.,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Heinzelova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 70, 10000 Zagreb, OIB: 23759810849</w:t>
            </w:r>
          </w:p>
        </w:tc>
        <w:tc>
          <w:tcPr>
            <w:tcW w:w="2693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Pravomoćno i ovršno Rješenje br.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>-6681/12 od 08.08.2012. godine, troškovi postupka, kamata</w:t>
            </w:r>
          </w:p>
        </w:tc>
        <w:tc>
          <w:tcPr>
            <w:tcW w:w="1701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8.099,98</w:t>
            </w:r>
          </w:p>
        </w:tc>
        <w:tc>
          <w:tcPr>
            <w:tcW w:w="1560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8.099,98</w:t>
            </w:r>
          </w:p>
        </w:tc>
        <w:tc>
          <w:tcPr>
            <w:tcW w:w="1559" w:type="dxa"/>
            <w:noWrap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  <w:hideMark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695BBD" w:rsidRPr="00B478A6" w:rsidTr="00695BBD">
        <w:trPr>
          <w:trHeight w:val="690"/>
        </w:trPr>
        <w:tc>
          <w:tcPr>
            <w:tcW w:w="993" w:type="dxa"/>
            <w:noWrap/>
            <w:vAlign w:val="center"/>
          </w:tcPr>
          <w:p w:rsidR="00695BBD" w:rsidRPr="00B478A6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9.</w:t>
            </w:r>
          </w:p>
        </w:tc>
        <w:tc>
          <w:tcPr>
            <w:tcW w:w="3544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HRVATSKI TELEKOM d.d., Roberta Frangeša Mihanovića 9, 10110 Zagreb, OIB: 81793146560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Pravomoćno i ovršno Rješenje br.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>-2465/12-2 od 03.10.2012. godine, kamata</w:t>
            </w:r>
          </w:p>
        </w:tc>
        <w:tc>
          <w:tcPr>
            <w:tcW w:w="1701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14.373,70</w:t>
            </w:r>
          </w:p>
        </w:tc>
        <w:tc>
          <w:tcPr>
            <w:tcW w:w="1560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14.373,70</w:t>
            </w:r>
          </w:p>
        </w:tc>
        <w:tc>
          <w:tcPr>
            <w:tcW w:w="1559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695BBD" w:rsidRPr="00B478A6" w:rsidTr="00695BBD">
        <w:trPr>
          <w:trHeight w:val="690"/>
        </w:trPr>
        <w:tc>
          <w:tcPr>
            <w:tcW w:w="993" w:type="dxa"/>
            <w:noWrap/>
            <w:vAlign w:val="center"/>
          </w:tcPr>
          <w:p w:rsidR="00695BBD" w:rsidRPr="00B478A6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lastRenderedPageBreak/>
              <w:t>10.</w:t>
            </w:r>
          </w:p>
        </w:tc>
        <w:tc>
          <w:tcPr>
            <w:tcW w:w="3544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OPĆINA GORIČAN, Trg sv. Leopolda 22, 40324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Goričan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>, OIB: 14842985448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Kartica, komunalna naknada, Rješenje o ovrsi, trošak postupka, kamata</w:t>
            </w:r>
          </w:p>
        </w:tc>
        <w:tc>
          <w:tcPr>
            <w:tcW w:w="1701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45.944,38</w:t>
            </w:r>
          </w:p>
        </w:tc>
        <w:tc>
          <w:tcPr>
            <w:tcW w:w="1560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45.944,38</w:t>
            </w:r>
          </w:p>
        </w:tc>
        <w:tc>
          <w:tcPr>
            <w:tcW w:w="1559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695BBD" w:rsidRPr="00B478A6" w:rsidTr="00695BBD">
        <w:trPr>
          <w:trHeight w:val="270"/>
        </w:trPr>
        <w:tc>
          <w:tcPr>
            <w:tcW w:w="993" w:type="dxa"/>
            <w:noWrap/>
            <w:vAlign w:val="center"/>
          </w:tcPr>
          <w:p w:rsidR="00695BBD" w:rsidRPr="00B478A6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11.</w:t>
            </w:r>
          </w:p>
        </w:tc>
        <w:tc>
          <w:tcPr>
            <w:tcW w:w="3544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PRIVREDNA BANKA ZAGREB d.d.,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Rdnička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 cesta 50, 10000 Zagreb, OIB:02535697732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Izvadak iz poslovnih knjiga, Ugovor o dugoročnom kreditu broj 31901000398 od 25.07.2007.g., Aneks I Ugovora od 21.06.2010.g., Ugovor o dugoročnom kreditu broj 31901001092 od 21.06.2010.g., Ugovor o kratkoročnom kreditu broj 30901001215 od 15.11.2010.g., Ugovor o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revolving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 kreditu 5010461861, Ugovor o poslovnom računu, kamata</w:t>
            </w:r>
          </w:p>
        </w:tc>
        <w:tc>
          <w:tcPr>
            <w:tcW w:w="1701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3.838.151,89</w:t>
            </w:r>
          </w:p>
        </w:tc>
        <w:tc>
          <w:tcPr>
            <w:tcW w:w="1560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3.838.151,89</w:t>
            </w:r>
          </w:p>
        </w:tc>
        <w:tc>
          <w:tcPr>
            <w:tcW w:w="1559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695BBD" w:rsidRPr="00B478A6" w:rsidTr="00695BBD">
        <w:trPr>
          <w:trHeight w:val="690"/>
        </w:trPr>
        <w:tc>
          <w:tcPr>
            <w:tcW w:w="993" w:type="dxa"/>
            <w:noWrap/>
            <w:vAlign w:val="center"/>
          </w:tcPr>
          <w:p w:rsidR="00695BBD" w:rsidRPr="00B478A6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12.</w:t>
            </w:r>
          </w:p>
        </w:tc>
        <w:tc>
          <w:tcPr>
            <w:tcW w:w="3544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INOX CENTAR HOEGGER d.o.o., Gospodarska 5,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Trnovec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Bartolovečki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>, OIB: 41073511179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Pravomoćno i ovršno Rješenje br.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>-70/12 od 22.03.2012. godine, troškovi postupka, kamata</w:t>
            </w:r>
          </w:p>
        </w:tc>
        <w:tc>
          <w:tcPr>
            <w:tcW w:w="1701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57.570,30</w:t>
            </w:r>
          </w:p>
        </w:tc>
        <w:tc>
          <w:tcPr>
            <w:tcW w:w="1560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57.570,30</w:t>
            </w:r>
          </w:p>
        </w:tc>
        <w:tc>
          <w:tcPr>
            <w:tcW w:w="1559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695BBD" w:rsidRPr="00B478A6" w:rsidTr="00695BBD">
        <w:trPr>
          <w:trHeight w:val="690"/>
        </w:trPr>
        <w:tc>
          <w:tcPr>
            <w:tcW w:w="993" w:type="dxa"/>
            <w:noWrap/>
            <w:vAlign w:val="center"/>
          </w:tcPr>
          <w:p w:rsidR="00695BBD" w:rsidRPr="00B478A6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lastRenderedPageBreak/>
              <w:t>13.</w:t>
            </w:r>
          </w:p>
        </w:tc>
        <w:tc>
          <w:tcPr>
            <w:tcW w:w="3544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FRANJO PATAFTA,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vl.obrta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 "PATAFTA I SINOVI", Poljska 6,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Strahoninec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>, 40000 Čakovec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Obveza iz sudske nagodbe P-639/10, Rješenje o ovrsi broj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Ovr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>-752/11 od 30.03.2012.g., troškovi u pokušaju namirenja, ovršni trošak, kamata, predujmovi za daljnje troškove</w:t>
            </w:r>
          </w:p>
        </w:tc>
        <w:tc>
          <w:tcPr>
            <w:tcW w:w="1701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139.748,83</w:t>
            </w:r>
          </w:p>
        </w:tc>
        <w:tc>
          <w:tcPr>
            <w:tcW w:w="1560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139.748,83</w:t>
            </w:r>
          </w:p>
        </w:tc>
        <w:tc>
          <w:tcPr>
            <w:tcW w:w="1559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695BBD" w:rsidRPr="00B478A6" w:rsidTr="00695BBD">
        <w:trPr>
          <w:trHeight w:val="690"/>
        </w:trPr>
        <w:tc>
          <w:tcPr>
            <w:tcW w:w="993" w:type="dxa"/>
            <w:noWrap/>
            <w:vAlign w:val="center"/>
          </w:tcPr>
          <w:p w:rsidR="00695BBD" w:rsidRPr="00B478A6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14.</w:t>
            </w:r>
          </w:p>
        </w:tc>
        <w:tc>
          <w:tcPr>
            <w:tcW w:w="3544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HRVATSKE  ŠUME d.o.o., Lj.F.Vukotinovića 2, 10000 Zagreb, OIB: 69693144506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Pravomoćno i ovršno Rješenje br.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-62/12 od 08.02.2012.g., Rješenje o ovrsi br.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-338/15 od 02.03.2015.g., ovršni trošak, trošak sastava prijedloga za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izvansudsku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 odluku, trošak vođenja postupka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predstečajne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 nagodbe, trošak prijave tražbine</w:t>
            </w:r>
          </w:p>
        </w:tc>
        <w:tc>
          <w:tcPr>
            <w:tcW w:w="1701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38.100,18</w:t>
            </w:r>
          </w:p>
        </w:tc>
        <w:tc>
          <w:tcPr>
            <w:tcW w:w="1560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36.850,18</w:t>
            </w:r>
          </w:p>
        </w:tc>
        <w:tc>
          <w:tcPr>
            <w:tcW w:w="1559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1.250,00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Tražbina osporena u iznosu od 1.250,00 kn koja se odnosi na troškove prijave tražbine i predstavlja tražbinu nižeg isplatnog reda</w:t>
            </w:r>
          </w:p>
        </w:tc>
      </w:tr>
      <w:tr w:rsidR="00695BBD" w:rsidRPr="00B478A6" w:rsidTr="00695BBD">
        <w:trPr>
          <w:trHeight w:val="690"/>
        </w:trPr>
        <w:tc>
          <w:tcPr>
            <w:tcW w:w="993" w:type="dxa"/>
            <w:noWrap/>
            <w:vAlign w:val="center"/>
          </w:tcPr>
          <w:p w:rsidR="00695BBD" w:rsidRPr="00B478A6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15.</w:t>
            </w:r>
          </w:p>
        </w:tc>
        <w:tc>
          <w:tcPr>
            <w:tcW w:w="3544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MEĐIMURJE-PLIN d.o.o., Obrtnička 4, 40000 Čakovec, OIB: 29035933600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Pravomoćno i ovršno Rješenje br.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-740/13 od 24.12.2013.g. , računi za uslugu, trošak opomene, trošak postupka, kamate </w:t>
            </w:r>
          </w:p>
        </w:tc>
        <w:tc>
          <w:tcPr>
            <w:tcW w:w="1701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72.053,86</w:t>
            </w:r>
          </w:p>
        </w:tc>
        <w:tc>
          <w:tcPr>
            <w:tcW w:w="1560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72.053,86</w:t>
            </w:r>
          </w:p>
        </w:tc>
        <w:tc>
          <w:tcPr>
            <w:tcW w:w="1559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b/>
                <w:bCs/>
                <w:color w:val="FF0000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695BBD" w:rsidRPr="00B478A6" w:rsidTr="00695BBD">
        <w:trPr>
          <w:trHeight w:val="690"/>
        </w:trPr>
        <w:tc>
          <w:tcPr>
            <w:tcW w:w="993" w:type="dxa"/>
            <w:noWrap/>
            <w:vAlign w:val="center"/>
          </w:tcPr>
          <w:p w:rsidR="00695BBD" w:rsidRPr="00B478A6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lastRenderedPageBreak/>
              <w:t>16.</w:t>
            </w:r>
          </w:p>
        </w:tc>
        <w:tc>
          <w:tcPr>
            <w:tcW w:w="3544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RH, MINISTARSTVO FINANCIJA, Porezna uprava, Područni ured sjeverna Hrvatska, OIB:52634238587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Porezi, sudske pristojbe, članarina, doprinos, novčane kazne, kamata</w:t>
            </w:r>
          </w:p>
        </w:tc>
        <w:tc>
          <w:tcPr>
            <w:tcW w:w="1701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1.241.785,29</w:t>
            </w:r>
          </w:p>
        </w:tc>
        <w:tc>
          <w:tcPr>
            <w:tcW w:w="1560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1.241.785,29</w:t>
            </w:r>
          </w:p>
        </w:tc>
        <w:tc>
          <w:tcPr>
            <w:tcW w:w="1559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695BBD" w:rsidRPr="00B478A6" w:rsidTr="00695BBD">
        <w:trPr>
          <w:trHeight w:val="690"/>
        </w:trPr>
        <w:tc>
          <w:tcPr>
            <w:tcW w:w="993" w:type="dxa"/>
            <w:noWrap/>
            <w:vAlign w:val="center"/>
          </w:tcPr>
          <w:p w:rsidR="00695BBD" w:rsidRPr="00B478A6" w:rsidRDefault="00695BBD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17.</w:t>
            </w:r>
          </w:p>
        </w:tc>
        <w:tc>
          <w:tcPr>
            <w:tcW w:w="3544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TRANSPORTI "VAL PROM",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vl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. Vladimir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Črep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>, Radnička 8, 40000 Čakovec, OIB: 61412392357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 xml:space="preserve">Pravomoćno i ovršno Rješenje br. </w:t>
            </w:r>
            <w:proofErr w:type="spellStart"/>
            <w:r w:rsidRPr="00B478A6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B478A6">
              <w:rPr>
                <w:rFonts w:ascii="Century Gothic" w:hAnsi="Century Gothic" w:cs="Arial"/>
                <w:sz w:val="20"/>
                <w:szCs w:val="20"/>
              </w:rPr>
              <w:t>-162/12 od 28.05.2012. godine, kamata</w:t>
            </w:r>
          </w:p>
        </w:tc>
        <w:tc>
          <w:tcPr>
            <w:tcW w:w="1701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1.592,79</w:t>
            </w:r>
          </w:p>
        </w:tc>
        <w:tc>
          <w:tcPr>
            <w:tcW w:w="1560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1.592,79</w:t>
            </w:r>
          </w:p>
        </w:tc>
        <w:tc>
          <w:tcPr>
            <w:tcW w:w="1559" w:type="dxa"/>
            <w:noWrap/>
            <w:vAlign w:val="center"/>
          </w:tcPr>
          <w:p w:rsidR="00695BBD" w:rsidRPr="00B478A6" w:rsidRDefault="00695BBD" w:rsidP="00B478A6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</w:tcPr>
          <w:p w:rsidR="00695BBD" w:rsidRPr="00B478A6" w:rsidRDefault="00695BBD" w:rsidP="00B478A6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1B3AA1" w:rsidRPr="00B478A6" w:rsidTr="00695BBD">
        <w:trPr>
          <w:trHeight w:val="622"/>
        </w:trPr>
        <w:tc>
          <w:tcPr>
            <w:tcW w:w="993" w:type="dxa"/>
            <w:shd w:val="clear" w:color="auto" w:fill="BFBFBF" w:themeFill="background1" w:themeFillShade="BF"/>
            <w:noWrap/>
            <w:hideMark/>
          </w:tcPr>
          <w:p w:rsidR="001B3AA1" w:rsidRPr="00B478A6" w:rsidRDefault="001B3AA1" w:rsidP="00AE40A1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478A6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BFBFBF" w:themeFill="background1" w:themeFillShade="BF"/>
            <w:hideMark/>
          </w:tcPr>
          <w:p w:rsidR="001B3AA1" w:rsidRPr="00B478A6" w:rsidRDefault="001B3AA1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478A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PRIJAVLJENE TRAŽBINE  II VIŠI ISPLATNI RED </w:t>
            </w:r>
          </w:p>
        </w:tc>
        <w:tc>
          <w:tcPr>
            <w:tcW w:w="2693" w:type="dxa"/>
            <w:shd w:val="clear" w:color="auto" w:fill="BFBFBF" w:themeFill="background1" w:themeFillShade="BF"/>
            <w:hideMark/>
          </w:tcPr>
          <w:p w:rsidR="001B3AA1" w:rsidRPr="00B478A6" w:rsidRDefault="001B3AA1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478A6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BFBFBF" w:themeFill="background1" w:themeFillShade="BF"/>
            <w:noWrap/>
            <w:vAlign w:val="center"/>
            <w:hideMark/>
          </w:tcPr>
          <w:p w:rsidR="001B3AA1" w:rsidRPr="00B478A6" w:rsidRDefault="00695BBD" w:rsidP="00695BBD">
            <w:pPr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 w:rsidRPr="00B478A6"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 w:rsidRPr="00B478A6"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 w:rsidRPr="00B478A6"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6.099.942,91</w:t>
            </w:r>
            <w:r w:rsidRPr="00B478A6"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shd w:val="clear" w:color="auto" w:fill="BFBFBF" w:themeFill="background1" w:themeFillShade="BF"/>
            <w:noWrap/>
            <w:vAlign w:val="center"/>
            <w:hideMark/>
          </w:tcPr>
          <w:p w:rsidR="001B3AA1" w:rsidRPr="00B478A6" w:rsidRDefault="00695BBD">
            <w:pPr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 w:rsidRPr="00B478A6"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 w:rsidRPr="00B478A6"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 w:rsidRPr="00B478A6"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6.098.692,91</w:t>
            </w:r>
            <w:r w:rsidRPr="00B478A6"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shd w:val="clear" w:color="auto" w:fill="BFBFBF" w:themeFill="background1" w:themeFillShade="BF"/>
            <w:noWrap/>
            <w:vAlign w:val="center"/>
            <w:hideMark/>
          </w:tcPr>
          <w:p w:rsidR="001B3AA1" w:rsidRPr="00B478A6" w:rsidRDefault="00695BBD">
            <w:pPr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478A6">
              <w:rPr>
                <w:rFonts w:ascii="Century Gothic" w:hAnsi="Century Gothic" w:cs="Arial"/>
                <w:b/>
                <w:bCs/>
                <w:sz w:val="20"/>
                <w:szCs w:val="20"/>
              </w:rPr>
              <w:t>1.250,00</w:t>
            </w:r>
          </w:p>
        </w:tc>
        <w:tc>
          <w:tcPr>
            <w:tcW w:w="2693" w:type="dxa"/>
            <w:shd w:val="clear" w:color="auto" w:fill="BFBFBF" w:themeFill="background1" w:themeFillShade="BF"/>
            <w:noWrap/>
            <w:hideMark/>
          </w:tcPr>
          <w:p w:rsidR="001B3AA1" w:rsidRPr="00B478A6" w:rsidRDefault="001B3AA1" w:rsidP="00AE40A1">
            <w:pPr>
              <w:rPr>
                <w:rFonts w:ascii="Century Gothic" w:hAnsi="Century Gothic"/>
                <w:sz w:val="20"/>
                <w:szCs w:val="20"/>
              </w:rPr>
            </w:pPr>
            <w:r w:rsidRPr="00B478A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</w:tbl>
    <w:p w:rsidR="00AE40A1" w:rsidRDefault="00AE40A1"/>
    <w:p w:rsidR="007D2B16" w:rsidRPr="007D2B16" w:rsidRDefault="00695BBD">
      <w:p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Goričan</w:t>
      </w:r>
      <w:proofErr w:type="spellEnd"/>
      <w:r>
        <w:rPr>
          <w:rFonts w:ascii="Century Gothic" w:hAnsi="Century Gothic"/>
        </w:rPr>
        <w:t>, 26.09.2016.</w:t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>
        <w:rPr>
          <w:rFonts w:ascii="Century Gothic" w:hAnsi="Century Gothic"/>
        </w:rPr>
        <w:tab/>
      </w:r>
      <w:r w:rsid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>stečajni upravitelj</w:t>
      </w:r>
      <w:r w:rsidR="007D2B16">
        <w:rPr>
          <w:rFonts w:ascii="Century Gothic" w:hAnsi="Century Gothic"/>
        </w:rPr>
        <w:t>:</w:t>
      </w:r>
      <w:r w:rsidR="007D2B16" w:rsidRPr="007D2B16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Jelena </w:t>
      </w:r>
      <w:proofErr w:type="spellStart"/>
      <w:r>
        <w:rPr>
          <w:rFonts w:ascii="Century Gothic" w:hAnsi="Century Gothic"/>
        </w:rPr>
        <w:t>Stankus</w:t>
      </w:r>
      <w:proofErr w:type="spellEnd"/>
      <w:r>
        <w:rPr>
          <w:rFonts w:ascii="Century Gothic" w:hAnsi="Century Gothic"/>
        </w:rPr>
        <w:t>-</w:t>
      </w:r>
      <w:proofErr w:type="spellStart"/>
      <w:r>
        <w:rPr>
          <w:rFonts w:ascii="Century Gothic" w:hAnsi="Century Gothic"/>
        </w:rPr>
        <w:t>Tkalec</w:t>
      </w:r>
      <w:proofErr w:type="spellEnd"/>
    </w:p>
    <w:sectPr w:rsidR="007D2B16" w:rsidRPr="007D2B16" w:rsidSect="00AE40A1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C55" w:rsidRDefault="00706C55" w:rsidP="00AE40A1">
      <w:pPr>
        <w:spacing w:after="0" w:line="240" w:lineRule="auto"/>
      </w:pPr>
      <w:r>
        <w:separator/>
      </w:r>
    </w:p>
  </w:endnote>
  <w:endnote w:type="continuationSeparator" w:id="0">
    <w:p w:rsidR="00706C55" w:rsidRDefault="00706C55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C55" w:rsidRDefault="00706C55" w:rsidP="00AE40A1">
      <w:pPr>
        <w:spacing w:after="0" w:line="240" w:lineRule="auto"/>
      </w:pPr>
      <w:r>
        <w:separator/>
      </w:r>
    </w:p>
  </w:footnote>
  <w:footnote w:type="continuationSeparator" w:id="0">
    <w:p w:rsidR="00706C55" w:rsidRDefault="00706C55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B16" w:rsidRPr="000D3096" w:rsidRDefault="00695BBD" w:rsidP="007D2B16">
    <w:pPr>
      <w:pStyle w:val="Standard"/>
      <w:spacing w:after="0" w:line="288" w:lineRule="auto"/>
      <w:jc w:val="center"/>
      <w:rPr>
        <w:rFonts w:ascii="Century Gothic" w:hAnsi="Century Gothic"/>
        <w:b/>
        <w:i/>
        <w:sz w:val="26"/>
        <w:szCs w:val="26"/>
      </w:rPr>
    </w:pPr>
    <w:r>
      <w:rPr>
        <w:rFonts w:ascii="Century Gothic" w:hAnsi="Century Gothic" w:cs="Tahoma"/>
        <w:b/>
        <w:i/>
        <w:sz w:val="26"/>
        <w:szCs w:val="26"/>
      </w:rPr>
      <w:t xml:space="preserve">KLM HORVAT </w:t>
    </w:r>
    <w:r w:rsidR="007D2B16" w:rsidRPr="000D3096">
      <w:rPr>
        <w:rFonts w:ascii="Century Gothic" w:hAnsi="Century Gothic" w:cs="Tahoma"/>
        <w:b/>
        <w:i/>
        <w:sz w:val="26"/>
        <w:szCs w:val="26"/>
      </w:rPr>
      <w:t>d.o.o. u stečaju</w:t>
    </w:r>
  </w:p>
  <w:p w:rsidR="00695BBD" w:rsidRPr="00695BBD" w:rsidRDefault="00695BBD" w:rsidP="00695BBD">
    <w:pPr>
      <w:pStyle w:val="Standard"/>
      <w:pBdr>
        <w:bottom w:val="double" w:sz="4" w:space="1" w:color="000000"/>
      </w:pBdr>
      <w:spacing w:after="0" w:line="288" w:lineRule="auto"/>
      <w:jc w:val="center"/>
      <w:rPr>
        <w:rFonts w:ascii="Century Gothic" w:hAnsi="Century Gothic" w:cs="Tahoma"/>
      </w:rPr>
    </w:pPr>
    <w:r w:rsidRPr="00695BBD">
      <w:rPr>
        <w:rFonts w:ascii="Century Gothic" w:hAnsi="Century Gothic" w:cs="Tahoma"/>
      </w:rPr>
      <w:t xml:space="preserve">Stečajni upravitelj Jelena </w:t>
    </w:r>
    <w:proofErr w:type="spellStart"/>
    <w:r w:rsidRPr="00695BBD">
      <w:rPr>
        <w:rFonts w:ascii="Century Gothic" w:hAnsi="Century Gothic" w:cs="Tahoma"/>
      </w:rPr>
      <w:t>Stankus</w:t>
    </w:r>
    <w:proofErr w:type="spellEnd"/>
    <w:r w:rsidRPr="00695BBD">
      <w:rPr>
        <w:rFonts w:ascii="Century Gothic" w:hAnsi="Century Gothic" w:cs="Tahoma"/>
      </w:rPr>
      <w:t>-</w:t>
    </w:r>
    <w:proofErr w:type="spellStart"/>
    <w:r w:rsidRPr="00695BBD">
      <w:rPr>
        <w:rFonts w:ascii="Century Gothic" w:hAnsi="Century Gothic" w:cs="Tahoma"/>
      </w:rPr>
      <w:t>Tkalec</w:t>
    </w:r>
    <w:proofErr w:type="spellEnd"/>
    <w:r w:rsidRPr="00695BBD">
      <w:rPr>
        <w:rFonts w:ascii="Century Gothic" w:hAnsi="Century Gothic" w:cs="Tahoma"/>
      </w:rPr>
      <w:t xml:space="preserve"> </w:t>
    </w:r>
  </w:p>
  <w:p w:rsidR="00695BBD" w:rsidRDefault="00695BBD" w:rsidP="00695BBD">
    <w:pPr>
      <w:pStyle w:val="Standard"/>
      <w:pBdr>
        <w:bottom w:val="double" w:sz="4" w:space="1" w:color="000000"/>
      </w:pBdr>
      <w:spacing w:after="0" w:line="288" w:lineRule="auto"/>
      <w:jc w:val="center"/>
      <w:rPr>
        <w:rFonts w:ascii="Century Gothic" w:hAnsi="Century Gothic" w:cs="Tahoma"/>
      </w:rPr>
    </w:pPr>
    <w:r w:rsidRPr="00695BBD">
      <w:rPr>
        <w:rFonts w:ascii="Century Gothic" w:hAnsi="Century Gothic" w:cs="Tahoma"/>
      </w:rPr>
      <w:t xml:space="preserve">Školska 102, </w:t>
    </w:r>
    <w:proofErr w:type="spellStart"/>
    <w:r w:rsidRPr="00695BBD">
      <w:rPr>
        <w:rFonts w:ascii="Century Gothic" w:hAnsi="Century Gothic" w:cs="Tahoma"/>
      </w:rPr>
      <w:t>Goričan</w:t>
    </w:r>
    <w:proofErr w:type="spellEnd"/>
    <w:r>
      <w:rPr>
        <w:rFonts w:ascii="Century Gothic" w:hAnsi="Century Gothic" w:cs="Tahoma"/>
      </w:rPr>
      <w:t xml:space="preserve">, </w:t>
    </w:r>
    <w:r w:rsidRPr="00695BBD">
      <w:rPr>
        <w:rFonts w:ascii="Century Gothic" w:hAnsi="Century Gothic" w:cs="Tahoma"/>
      </w:rPr>
      <w:t>OIB: 12796096560, St – 452/16</w:t>
    </w:r>
    <w:r w:rsidRPr="00695BBD">
      <w:rPr>
        <w:rFonts w:ascii="Century Gothic" w:hAnsi="Century Gothic" w:cs="Tahoma"/>
      </w:rPr>
      <w:tab/>
    </w:r>
  </w:p>
  <w:p w:rsidR="007D2B16" w:rsidRPr="000D3096" w:rsidRDefault="007D2B16" w:rsidP="00695BBD">
    <w:pPr>
      <w:pStyle w:val="Standard"/>
      <w:pBdr>
        <w:bottom w:val="double" w:sz="4" w:space="1" w:color="000000"/>
      </w:pBdr>
      <w:spacing w:after="0" w:line="288" w:lineRule="auto"/>
      <w:jc w:val="center"/>
      <w:rPr>
        <w:rFonts w:ascii="Century Gothic" w:hAnsi="Century Gothic" w:cs="Tahoma"/>
      </w:rPr>
    </w:pPr>
    <w:r w:rsidRPr="007D2B16">
      <w:rPr>
        <w:rFonts w:ascii="Century Gothic" w:hAnsi="Century Gothic" w:cs="Tahoma"/>
      </w:rPr>
      <w:t xml:space="preserve">Stečajni sudac:  </w:t>
    </w:r>
    <w:r w:rsidR="00695BBD">
      <w:rPr>
        <w:rFonts w:ascii="Century Gothic" w:hAnsi="Century Gothic" w:cs="Tahoma"/>
      </w:rPr>
      <w:t>Jasna Lekić,</w:t>
    </w:r>
    <w:r w:rsidRPr="007D2B16">
      <w:rPr>
        <w:rFonts w:ascii="Century Gothic" w:hAnsi="Century Gothic" w:cs="Tahoma"/>
      </w:rPr>
      <w:t xml:space="preserve"> v.r.</w:t>
    </w:r>
  </w:p>
  <w:p w:rsidR="007D2B16" w:rsidRDefault="007D2B16" w:rsidP="007D2B16">
    <w:pPr>
      <w:widowControl w:val="0"/>
      <w:suppressAutoHyphens/>
      <w:autoSpaceDN w:val="0"/>
      <w:spacing w:after="0" w:line="288" w:lineRule="auto"/>
      <w:jc w:val="both"/>
      <w:textAlignment w:val="baseline"/>
      <w:rPr>
        <w:rFonts w:ascii="Century Gothic" w:eastAsia="SimSun" w:hAnsi="Century Gothic" w:cs="Tahoma"/>
        <w:b/>
        <w:kern w:val="3"/>
        <w:sz w:val="24"/>
        <w:szCs w:val="24"/>
        <w:lang w:val="pl-PL" w:eastAsia="zh-CN" w:bidi="hi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A1"/>
    <w:rsid w:val="000029E8"/>
    <w:rsid w:val="000C1735"/>
    <w:rsid w:val="001B3AA1"/>
    <w:rsid w:val="001E7F34"/>
    <w:rsid w:val="003135B6"/>
    <w:rsid w:val="00320035"/>
    <w:rsid w:val="00695BBD"/>
    <w:rsid w:val="006E0F02"/>
    <w:rsid w:val="006E3C6F"/>
    <w:rsid w:val="00706C55"/>
    <w:rsid w:val="0078548E"/>
    <w:rsid w:val="007D2B16"/>
    <w:rsid w:val="00A30E7E"/>
    <w:rsid w:val="00AE40A1"/>
    <w:rsid w:val="00B478A6"/>
    <w:rsid w:val="00EA2A85"/>
    <w:rsid w:val="00F6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2016-08-26T12:16:00Z</cp:lastPrinted>
  <dcterms:created xsi:type="dcterms:W3CDTF">2016-09-26T13:11:00Z</dcterms:created>
  <dcterms:modified xsi:type="dcterms:W3CDTF">2016-09-26T13:21:00Z</dcterms:modified>
</cp:coreProperties>
</file>